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9B27" w14:textId="77777777" w:rsidR="00D00C9A" w:rsidRDefault="00D00C9A">
      <w:pPr>
        <w:spacing w:line="200" w:lineRule="exact"/>
      </w:pPr>
    </w:p>
    <w:p w14:paraId="50750F3E" w14:textId="77777777" w:rsidR="00D00C9A" w:rsidRDefault="00D00C9A">
      <w:pPr>
        <w:sectPr w:rsidR="00D00C9A">
          <w:pgSz w:w="11906" w:h="16838"/>
          <w:pgMar w:top="0" w:right="0" w:bottom="0" w:left="0" w:header="0" w:footer="0" w:gutter="0"/>
          <w:cols w:space="720"/>
        </w:sectPr>
      </w:pPr>
    </w:p>
    <w:p w14:paraId="35D6A2D4" w14:textId="77777777" w:rsidR="00D00C9A" w:rsidRDefault="00D00C9A">
      <w:pPr>
        <w:spacing w:line="200" w:lineRule="exact"/>
      </w:pPr>
    </w:p>
    <w:p w14:paraId="063168AD" w14:textId="77777777" w:rsidR="00D00C9A" w:rsidRDefault="00D00C9A">
      <w:pPr>
        <w:sectPr w:rsidR="00D00C9A">
          <w:type w:val="continuous"/>
          <w:pgSz w:w="11906" w:h="16838"/>
          <w:pgMar w:top="0" w:right="0" w:bottom="0" w:left="0" w:header="0" w:footer="0" w:gutter="0"/>
          <w:cols w:space="720"/>
        </w:sectPr>
      </w:pPr>
    </w:p>
    <w:p w14:paraId="3089572B" w14:textId="77777777" w:rsidR="00D00C9A" w:rsidRDefault="00D00C9A">
      <w:pPr>
        <w:spacing w:line="200" w:lineRule="exact"/>
      </w:pPr>
    </w:p>
    <w:p w14:paraId="1FE1C771" w14:textId="77777777" w:rsidR="00D00C9A" w:rsidRDefault="00D00C9A">
      <w:pPr>
        <w:sectPr w:rsidR="00D00C9A">
          <w:type w:val="continuous"/>
          <w:pgSz w:w="11906" w:h="16838"/>
          <w:pgMar w:top="0" w:right="0" w:bottom="0" w:left="0" w:header="0" w:footer="0" w:gutter="0"/>
          <w:cols w:space="720"/>
        </w:sectPr>
      </w:pPr>
    </w:p>
    <w:p w14:paraId="33AD0415" w14:textId="77777777" w:rsidR="00D00C9A" w:rsidRDefault="00D00C9A">
      <w:pPr>
        <w:spacing w:line="200" w:lineRule="exact"/>
      </w:pPr>
    </w:p>
    <w:p w14:paraId="0F825ECA" w14:textId="77777777" w:rsidR="00D00C9A" w:rsidRDefault="00D00C9A">
      <w:pPr>
        <w:sectPr w:rsidR="00D00C9A">
          <w:type w:val="continuous"/>
          <w:pgSz w:w="11906" w:h="16838"/>
          <w:pgMar w:top="0" w:right="0" w:bottom="0" w:left="0" w:header="0" w:footer="0" w:gutter="0"/>
          <w:cols w:space="720"/>
        </w:sectPr>
      </w:pPr>
    </w:p>
    <w:p w14:paraId="177B37F6" w14:textId="77777777" w:rsidR="00D00C9A" w:rsidRDefault="00D00C9A">
      <w:pPr>
        <w:spacing w:line="200" w:lineRule="exact"/>
      </w:pPr>
    </w:p>
    <w:p w14:paraId="6D1EA444" w14:textId="77777777" w:rsidR="00D00C9A" w:rsidRDefault="00D00C9A">
      <w:pPr>
        <w:sectPr w:rsidR="00D00C9A">
          <w:type w:val="continuous"/>
          <w:pgSz w:w="11906" w:h="16838"/>
          <w:pgMar w:top="0" w:right="0" w:bottom="0" w:left="0" w:header="0" w:footer="0" w:gutter="0"/>
          <w:cols w:space="720"/>
        </w:sectPr>
      </w:pPr>
    </w:p>
    <w:p w14:paraId="4B90C4FB" w14:textId="77777777" w:rsidR="00D00C9A" w:rsidRDefault="00D00C9A">
      <w:pPr>
        <w:spacing w:line="200" w:lineRule="exact"/>
      </w:pPr>
    </w:p>
    <w:p w14:paraId="0BE1A9D4" w14:textId="77777777" w:rsidR="00D00C9A" w:rsidRDefault="00D00C9A">
      <w:pPr>
        <w:sectPr w:rsidR="00D00C9A">
          <w:type w:val="continuous"/>
          <w:pgSz w:w="11906" w:h="16838"/>
          <w:pgMar w:top="0" w:right="0" w:bottom="0" w:left="0" w:header="0" w:footer="0" w:gutter="0"/>
          <w:cols w:space="720"/>
        </w:sectPr>
      </w:pPr>
    </w:p>
    <w:p w14:paraId="6B3CD8EB" w14:textId="77777777" w:rsidR="00D00C9A" w:rsidRDefault="00D00C9A">
      <w:pPr>
        <w:spacing w:line="369" w:lineRule="exact"/>
      </w:pPr>
    </w:p>
    <w:p w14:paraId="185AA456" w14:textId="77777777" w:rsidR="00D00C9A" w:rsidRDefault="00D00C9A">
      <w:pPr>
        <w:sectPr w:rsidR="00D00C9A">
          <w:type w:val="continuous"/>
          <w:pgSz w:w="11906" w:h="16838"/>
          <w:pgMar w:top="0" w:right="0" w:bottom="0" w:left="0" w:header="0" w:footer="0" w:gutter="0"/>
          <w:cols w:space="720"/>
        </w:sectPr>
      </w:pPr>
    </w:p>
    <w:p w14:paraId="685F3F8C" w14:textId="77777777" w:rsidR="00D00C9A" w:rsidRDefault="002B1AD3">
      <w:pPr>
        <w:autoSpaceDE w:val="0"/>
        <w:autoSpaceDN w:val="0"/>
        <w:ind w:left="3800"/>
        <w:rPr>
          <w:lang w:eastAsia="zh-TW"/>
        </w:rPr>
      </w:pPr>
      <w:r>
        <w:rPr>
          <w:rFonts w:ascii="新細明體" w:eastAsia="新細明體" w:hAnsi="新細明體" w:cs="新細明體"/>
          <w:color w:val="000000"/>
          <w:spacing w:val="1"/>
          <w:sz w:val="40"/>
          <w:szCs w:val="40"/>
          <w:lang w:eastAsia="zh-TW"/>
        </w:rPr>
        <w:t>大</w:t>
      </w:r>
      <w:r>
        <w:rPr>
          <w:rFonts w:ascii="新細明體" w:eastAsia="新細明體" w:hAnsi="新細明體" w:cs="新細明體"/>
          <w:color w:val="000000"/>
          <w:sz w:val="40"/>
          <w:szCs w:val="40"/>
          <w:lang w:eastAsia="zh-TW"/>
        </w:rPr>
        <w:t>慶票券金融股份有限公司</w:t>
      </w:r>
    </w:p>
    <w:p w14:paraId="2915C291" w14:textId="77777777" w:rsidR="00D00C9A" w:rsidRDefault="00D00C9A">
      <w:pPr>
        <w:spacing w:line="93" w:lineRule="exact"/>
        <w:rPr>
          <w:lang w:eastAsia="zh-TW"/>
        </w:rPr>
      </w:pPr>
    </w:p>
    <w:p w14:paraId="42D5ECF2" w14:textId="42E97F53" w:rsidR="00D00C9A" w:rsidRPr="002B1AD3" w:rsidRDefault="002B1AD3">
      <w:pPr>
        <w:autoSpaceDE w:val="0"/>
        <w:autoSpaceDN w:val="0"/>
        <w:ind w:left="5161"/>
        <w:rPr>
          <w:rFonts w:asciiTheme="majorEastAsia" w:eastAsiaTheme="majorEastAsia" w:hAnsiTheme="majorEastAsia"/>
          <w:lang w:eastAsia="zh-TW"/>
        </w:rPr>
      </w:pPr>
      <w:r w:rsidRPr="002B1AD3">
        <w:rPr>
          <w:rFonts w:asciiTheme="majorEastAsia" w:eastAsiaTheme="majorEastAsia" w:hAnsiTheme="majorEastAsia" w:cs="新細明體"/>
          <w:color w:val="000000"/>
          <w:lang w:eastAsia="zh-TW"/>
        </w:rPr>
        <w:t>民國</w:t>
      </w:r>
      <w:r w:rsidRPr="002B1AD3">
        <w:rPr>
          <w:rFonts w:asciiTheme="majorEastAsia" w:eastAsiaTheme="majorEastAsia" w:hAnsiTheme="majorEastAsia" w:cs="新細明體"/>
          <w:spacing w:val="14"/>
          <w:lang w:eastAsia="zh-TW"/>
        </w:rPr>
        <w:t xml:space="preserve"> </w:t>
      </w:r>
      <w:r w:rsidRPr="002B1AD3">
        <w:rPr>
          <w:rFonts w:asciiTheme="majorEastAsia" w:eastAsiaTheme="majorEastAsia" w:hAnsiTheme="majorEastAsia" w:cs="Times New Roman"/>
          <w:color w:val="000000"/>
          <w:lang w:eastAsia="zh-TW"/>
        </w:rPr>
        <w:t>1</w:t>
      </w:r>
      <w:r w:rsidR="00776E6F">
        <w:rPr>
          <w:rFonts w:asciiTheme="majorEastAsia" w:eastAsiaTheme="majorEastAsia" w:hAnsiTheme="majorEastAsia" w:cs="Times New Roman"/>
          <w:color w:val="000000"/>
          <w:lang w:eastAsia="zh-TW"/>
        </w:rPr>
        <w:t>1</w:t>
      </w:r>
      <w:r w:rsidR="00CB25A2">
        <w:rPr>
          <w:rFonts w:asciiTheme="majorEastAsia" w:eastAsiaTheme="majorEastAsia" w:hAnsiTheme="majorEastAsia" w:cs="Times New Roman" w:hint="eastAsia"/>
          <w:color w:val="000000"/>
          <w:lang w:eastAsia="zh-TW"/>
        </w:rPr>
        <w:t>2</w:t>
      </w:r>
      <w:r w:rsidRPr="002B1AD3">
        <w:rPr>
          <w:rFonts w:asciiTheme="majorEastAsia" w:eastAsiaTheme="majorEastAsia" w:hAnsiTheme="majorEastAsia" w:cs="新細明體"/>
          <w:color w:val="000000"/>
          <w:lang w:eastAsia="zh-TW"/>
        </w:rPr>
        <w:t>年</w:t>
      </w:r>
      <w:r w:rsidR="00B3083F">
        <w:rPr>
          <w:rFonts w:asciiTheme="majorEastAsia" w:eastAsiaTheme="majorEastAsia" w:hAnsiTheme="majorEastAsia" w:cs="新細明體" w:hint="eastAsia"/>
          <w:color w:val="000000"/>
          <w:lang w:eastAsia="zh-TW"/>
        </w:rPr>
        <w:t xml:space="preserve"> </w:t>
      </w:r>
      <w:r w:rsidR="00AC2B9C">
        <w:rPr>
          <w:rFonts w:asciiTheme="majorEastAsia" w:eastAsiaTheme="majorEastAsia" w:hAnsiTheme="majorEastAsia" w:cs="新細明體" w:hint="eastAsia"/>
          <w:color w:val="000000"/>
          <w:lang w:eastAsia="zh-TW"/>
        </w:rPr>
        <w:t>3</w:t>
      </w:r>
      <w:r w:rsidRPr="002B1AD3">
        <w:rPr>
          <w:rFonts w:asciiTheme="majorEastAsia" w:eastAsiaTheme="majorEastAsia" w:hAnsiTheme="majorEastAsia" w:cs="新細明體"/>
          <w:color w:val="000000"/>
          <w:lang w:eastAsia="zh-TW"/>
        </w:rPr>
        <w:t>月</w:t>
      </w:r>
    </w:p>
    <w:p w14:paraId="23EFE991" w14:textId="77777777" w:rsidR="00D00C9A" w:rsidRDefault="002B1AD3">
      <w:pPr>
        <w:autoSpaceDE w:val="0"/>
        <w:autoSpaceDN w:val="0"/>
        <w:spacing w:before="67"/>
        <w:ind w:left="4393"/>
        <w:rPr>
          <w:lang w:eastAsia="zh-TW"/>
        </w:rPr>
      </w:pPr>
      <w:r>
        <w:rPr>
          <w:rFonts w:ascii="新細明體" w:eastAsia="新細明體" w:hAnsi="新細明體" w:cs="新細明體"/>
          <w:color w:val="000000"/>
          <w:spacing w:val="-1"/>
          <w:lang w:eastAsia="zh-TW"/>
        </w:rPr>
        <w:t>開立</w:t>
      </w:r>
      <w:r>
        <w:rPr>
          <w:rFonts w:ascii="新細明體" w:eastAsia="新細明體" w:hAnsi="新細明體" w:cs="新細明體"/>
          <w:color w:val="000000"/>
          <w:lang w:eastAsia="zh-TW"/>
        </w:rPr>
        <w:t>發票及營業收入資訊查詢</w:t>
      </w:r>
    </w:p>
    <w:p w14:paraId="45E0177F" w14:textId="77777777" w:rsidR="00D00C9A" w:rsidRDefault="00D00C9A">
      <w:pPr>
        <w:spacing w:line="307" w:lineRule="exact"/>
        <w:rPr>
          <w:lang w:eastAsia="zh-TW"/>
        </w:rPr>
      </w:pPr>
    </w:p>
    <w:p w14:paraId="40F24957" w14:textId="77777777" w:rsidR="00D00C9A" w:rsidRDefault="002B1AD3">
      <w:pPr>
        <w:autoSpaceDE w:val="0"/>
        <w:autoSpaceDN w:val="0"/>
        <w:ind w:left="6721"/>
      </w:pPr>
      <w:r>
        <w:rPr>
          <w:rFonts w:ascii="新細明體" w:eastAsia="新細明體" w:hAnsi="新細明體" w:cs="新細明體"/>
          <w:color w:val="000000"/>
          <w:spacing w:val="7"/>
        </w:rPr>
        <w:t>單位</w:t>
      </w:r>
      <w:r>
        <w:rPr>
          <w:rFonts w:ascii="新細明體" w:eastAsia="新細明體" w:hAnsi="新細明體" w:cs="新細明體"/>
          <w:color w:val="000000"/>
          <w:spacing w:val="3"/>
        </w:rPr>
        <w:t>:</w:t>
      </w:r>
      <w:r>
        <w:rPr>
          <w:rFonts w:ascii="新細明體" w:eastAsia="新細明體" w:hAnsi="新細明體" w:cs="新細明體"/>
          <w:color w:val="000000"/>
          <w:spacing w:val="9"/>
        </w:rPr>
        <w:t>新台</w:t>
      </w:r>
      <w:r>
        <w:rPr>
          <w:rFonts w:ascii="新細明體" w:eastAsia="新細明體" w:hAnsi="新細明體" w:cs="新細明體"/>
          <w:color w:val="000000"/>
          <w:spacing w:val="7"/>
        </w:rPr>
        <w:t>幣仟元</w:t>
      </w:r>
    </w:p>
    <w:p w14:paraId="29F45F28" w14:textId="77777777" w:rsidR="00D00C9A" w:rsidRDefault="00D00C9A">
      <w:pPr>
        <w:sectPr w:rsidR="00D00C9A">
          <w:type w:val="continuous"/>
          <w:pgSz w:w="11906" w:h="16838"/>
          <w:pgMar w:top="0" w:right="0" w:bottom="0" w:left="0" w:header="0" w:footer="0" w:gutter="0"/>
          <w:cols w:space="720"/>
        </w:sectPr>
      </w:pPr>
    </w:p>
    <w:tbl>
      <w:tblPr>
        <w:tblW w:w="0" w:type="auto"/>
        <w:tblInd w:w="3776" w:type="dxa"/>
        <w:tblLayout w:type="fixed"/>
        <w:tblCellMar>
          <w:left w:w="0" w:type="dxa"/>
          <w:right w:w="0" w:type="dxa"/>
        </w:tblCellMar>
        <w:tblLook w:val="01E0" w:firstRow="1" w:lastRow="1" w:firstColumn="1" w:lastColumn="1" w:noHBand="0" w:noVBand="0"/>
      </w:tblPr>
      <w:tblGrid>
        <w:gridCol w:w="2345"/>
        <w:gridCol w:w="2814"/>
      </w:tblGrid>
      <w:tr w:rsidR="00D00C9A" w14:paraId="6E8B7CAE" w14:textId="77777777" w:rsidTr="00EB7BA1">
        <w:trPr>
          <w:trHeight w:hRule="exact" w:val="372"/>
        </w:trPr>
        <w:tc>
          <w:tcPr>
            <w:tcW w:w="2345" w:type="dxa"/>
            <w:tcBorders>
              <w:top w:val="single" w:sz="3" w:space="0" w:color="000000"/>
              <w:left w:val="single" w:sz="3" w:space="0" w:color="000000"/>
              <w:bottom w:val="single" w:sz="3" w:space="0" w:color="000000"/>
              <w:right w:val="single" w:sz="3" w:space="0" w:color="000000"/>
            </w:tcBorders>
          </w:tcPr>
          <w:p w14:paraId="1EF33F20" w14:textId="77777777" w:rsidR="00D00C9A" w:rsidRDefault="002B1AD3">
            <w:pPr>
              <w:autoSpaceDE w:val="0"/>
              <w:autoSpaceDN w:val="0"/>
              <w:spacing w:before="39"/>
              <w:ind w:left="924"/>
            </w:pPr>
            <w:r>
              <w:rPr>
                <w:rFonts w:ascii="新細明體" w:eastAsia="新細明體" w:hAnsi="新細明體" w:cs="新細明體"/>
                <w:color w:val="323298"/>
                <w:spacing w:val="-6"/>
              </w:rPr>
              <w:t>項目</w:t>
            </w:r>
          </w:p>
        </w:tc>
        <w:tc>
          <w:tcPr>
            <w:tcW w:w="2814" w:type="dxa"/>
            <w:tcBorders>
              <w:top w:val="single" w:sz="3" w:space="0" w:color="000000"/>
              <w:left w:val="single" w:sz="3" w:space="0" w:color="000000"/>
              <w:bottom w:val="single" w:sz="3" w:space="0" w:color="000000"/>
              <w:right w:val="single" w:sz="3" w:space="0" w:color="000000"/>
            </w:tcBorders>
          </w:tcPr>
          <w:p w14:paraId="74C96DF0" w14:textId="77777777" w:rsidR="00D00C9A" w:rsidRDefault="002B1AD3">
            <w:pPr>
              <w:autoSpaceDE w:val="0"/>
              <w:autoSpaceDN w:val="0"/>
              <w:spacing w:before="39"/>
              <w:ind w:left="439"/>
            </w:pPr>
            <w:r>
              <w:rPr>
                <w:rFonts w:ascii="新細明體" w:eastAsia="新細明體" w:hAnsi="新細明體" w:cs="新細明體"/>
                <w:color w:val="323298"/>
                <w:spacing w:val="-3"/>
              </w:rPr>
              <w:t>營業收</w:t>
            </w:r>
            <w:r>
              <w:rPr>
                <w:rFonts w:ascii="新細明體" w:eastAsia="新細明體" w:hAnsi="新細明體" w:cs="新細明體"/>
                <w:color w:val="323298"/>
                <w:spacing w:val="-1"/>
              </w:rPr>
              <w:t>入淨額</w:t>
            </w:r>
          </w:p>
        </w:tc>
      </w:tr>
      <w:tr w:rsidR="00D00C9A" w14:paraId="56BDA82C"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783B2002" w14:textId="77777777" w:rsidR="00D00C9A" w:rsidRDefault="002B1AD3">
            <w:pPr>
              <w:autoSpaceDE w:val="0"/>
              <w:autoSpaceDN w:val="0"/>
              <w:spacing w:before="37"/>
              <w:ind w:left="924"/>
            </w:pPr>
            <w:r>
              <w:rPr>
                <w:rFonts w:ascii="新細明體" w:eastAsia="新細明體" w:hAnsi="新細明體" w:cs="新細明體"/>
                <w:color w:val="323298"/>
                <w:spacing w:val="-6"/>
              </w:rPr>
              <w:t>本月</w:t>
            </w:r>
          </w:p>
        </w:tc>
        <w:tc>
          <w:tcPr>
            <w:tcW w:w="2814" w:type="dxa"/>
            <w:tcBorders>
              <w:top w:val="single" w:sz="3" w:space="0" w:color="000000"/>
              <w:left w:val="single" w:sz="3" w:space="0" w:color="000000"/>
              <w:bottom w:val="single" w:sz="3" w:space="0" w:color="000000"/>
              <w:right w:val="single" w:sz="3" w:space="0" w:color="000000"/>
            </w:tcBorders>
          </w:tcPr>
          <w:p w14:paraId="0F47F639" w14:textId="20DD52D4" w:rsidR="00D00C9A" w:rsidRPr="001A2031" w:rsidRDefault="00AC2B9C" w:rsidP="001A2031">
            <w:pPr>
              <w:jc w:val="right"/>
              <w:rPr>
                <w:rFonts w:ascii="標楷體" w:eastAsia="標楷體" w:hAnsi="標楷體"/>
              </w:rPr>
            </w:pPr>
            <w:r>
              <w:rPr>
                <w:rFonts w:ascii="標楷體" w:eastAsia="標楷體" w:hAnsi="標楷體" w:hint="eastAsia"/>
                <w:lang w:eastAsia="zh-TW"/>
              </w:rPr>
              <w:t>54</w:t>
            </w:r>
            <w:r w:rsidR="0007201A">
              <w:rPr>
                <w:rFonts w:ascii="標楷體" w:eastAsia="標楷體" w:hAnsi="標楷體"/>
                <w:lang w:eastAsia="zh-TW"/>
              </w:rPr>
              <w:t>,</w:t>
            </w:r>
            <w:r>
              <w:rPr>
                <w:rFonts w:ascii="標楷體" w:eastAsia="標楷體" w:hAnsi="標楷體" w:hint="eastAsia"/>
                <w:lang w:eastAsia="zh-TW"/>
              </w:rPr>
              <w:t>508</w:t>
            </w:r>
          </w:p>
        </w:tc>
      </w:tr>
      <w:tr w:rsidR="00D00C9A" w14:paraId="285520F6"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44E9740E" w14:textId="77777777" w:rsidR="00D00C9A" w:rsidRDefault="002B1AD3">
            <w:pPr>
              <w:autoSpaceDE w:val="0"/>
              <w:autoSpaceDN w:val="0"/>
              <w:spacing w:before="37"/>
              <w:ind w:left="684"/>
            </w:pPr>
            <w:r>
              <w:rPr>
                <w:rFonts w:ascii="新細明體" w:eastAsia="新細明體" w:hAnsi="新細明體" w:cs="新細明體"/>
                <w:color w:val="323298"/>
                <w:spacing w:val="-4"/>
              </w:rPr>
              <w:t>去年</w:t>
            </w:r>
            <w:r>
              <w:rPr>
                <w:rFonts w:ascii="新細明體" w:eastAsia="新細明體" w:hAnsi="新細明體" w:cs="新細明體"/>
                <w:color w:val="323298"/>
                <w:spacing w:val="-2"/>
              </w:rPr>
              <w:t>同期</w:t>
            </w:r>
          </w:p>
        </w:tc>
        <w:tc>
          <w:tcPr>
            <w:tcW w:w="2814" w:type="dxa"/>
            <w:tcBorders>
              <w:top w:val="single" w:sz="3" w:space="0" w:color="000000"/>
              <w:left w:val="single" w:sz="3" w:space="0" w:color="000000"/>
              <w:bottom w:val="single" w:sz="3" w:space="0" w:color="000000"/>
              <w:right w:val="single" w:sz="3" w:space="0" w:color="000000"/>
            </w:tcBorders>
          </w:tcPr>
          <w:p w14:paraId="4B160F48" w14:textId="3D6052AB" w:rsidR="00D00C9A" w:rsidRPr="001A2031" w:rsidRDefault="00AC2B9C" w:rsidP="001A2031">
            <w:pPr>
              <w:jc w:val="right"/>
              <w:rPr>
                <w:rFonts w:ascii="標楷體" w:eastAsia="標楷體" w:hAnsi="標楷體"/>
              </w:rPr>
            </w:pPr>
            <w:r>
              <w:rPr>
                <w:rFonts w:ascii="標楷體" w:eastAsia="標楷體" w:hAnsi="標楷體" w:hint="eastAsia"/>
                <w:lang w:eastAsia="zh-TW"/>
              </w:rPr>
              <w:t>2</w:t>
            </w:r>
            <w:r w:rsidR="0007201A">
              <w:rPr>
                <w:rFonts w:ascii="標楷體" w:eastAsia="標楷體" w:hAnsi="標楷體"/>
                <w:lang w:eastAsia="zh-TW"/>
              </w:rPr>
              <w:t>4</w:t>
            </w:r>
            <w:r w:rsidR="00394572" w:rsidRPr="001A2031">
              <w:rPr>
                <w:rFonts w:ascii="標楷體" w:eastAsia="標楷體" w:hAnsi="標楷體"/>
              </w:rPr>
              <w:t>,</w:t>
            </w:r>
            <w:r>
              <w:rPr>
                <w:rFonts w:ascii="標楷體" w:eastAsia="標楷體" w:hAnsi="標楷體" w:hint="eastAsia"/>
                <w:lang w:eastAsia="zh-TW"/>
              </w:rPr>
              <w:t>00</w:t>
            </w:r>
            <w:r w:rsidR="0007201A">
              <w:rPr>
                <w:rFonts w:ascii="標楷體" w:eastAsia="標楷體" w:hAnsi="標楷體"/>
              </w:rPr>
              <w:t>6</w:t>
            </w:r>
          </w:p>
        </w:tc>
      </w:tr>
      <w:tr w:rsidR="00D00C9A" w14:paraId="38A0918D"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64DE551B" w14:textId="77777777" w:rsidR="00D00C9A" w:rsidRDefault="002B1AD3">
            <w:pPr>
              <w:autoSpaceDE w:val="0"/>
              <w:autoSpaceDN w:val="0"/>
              <w:spacing w:before="37"/>
              <w:ind w:left="684"/>
            </w:pPr>
            <w:r>
              <w:rPr>
                <w:rFonts w:ascii="新細明體" w:eastAsia="新細明體" w:hAnsi="新細明體" w:cs="新細明體"/>
                <w:color w:val="323298"/>
                <w:spacing w:val="-4"/>
              </w:rPr>
              <w:t>增減</w:t>
            </w:r>
            <w:r>
              <w:rPr>
                <w:rFonts w:ascii="新細明體" w:eastAsia="新細明體" w:hAnsi="新細明體" w:cs="新細明體"/>
                <w:color w:val="323298"/>
                <w:spacing w:val="-2"/>
              </w:rPr>
              <w:t>金額</w:t>
            </w:r>
          </w:p>
        </w:tc>
        <w:tc>
          <w:tcPr>
            <w:tcW w:w="2814" w:type="dxa"/>
            <w:tcBorders>
              <w:top w:val="single" w:sz="3" w:space="0" w:color="000000"/>
              <w:left w:val="single" w:sz="3" w:space="0" w:color="000000"/>
              <w:bottom w:val="single" w:sz="3" w:space="0" w:color="000000"/>
              <w:right w:val="single" w:sz="3" w:space="0" w:color="000000"/>
            </w:tcBorders>
          </w:tcPr>
          <w:p w14:paraId="4073E18C" w14:textId="216A1F53" w:rsidR="00D00C9A" w:rsidRPr="001A2031" w:rsidRDefault="00AC2B9C" w:rsidP="001A2031">
            <w:pPr>
              <w:jc w:val="right"/>
              <w:rPr>
                <w:rFonts w:ascii="標楷體" w:eastAsia="標楷體" w:hAnsi="標楷體"/>
              </w:rPr>
            </w:pPr>
            <w:r>
              <w:rPr>
                <w:rFonts w:ascii="標楷體" w:eastAsia="標楷體" w:hAnsi="標楷體" w:hint="eastAsia"/>
                <w:lang w:eastAsia="zh-TW"/>
              </w:rPr>
              <w:t>30</w:t>
            </w:r>
            <w:r w:rsidR="0007201A">
              <w:rPr>
                <w:rFonts w:ascii="標楷體" w:eastAsia="標楷體" w:hAnsi="標楷體"/>
                <w:lang w:eastAsia="zh-TW"/>
              </w:rPr>
              <w:t>,</w:t>
            </w:r>
            <w:r>
              <w:rPr>
                <w:rFonts w:ascii="標楷體" w:eastAsia="標楷體" w:hAnsi="標楷體" w:hint="eastAsia"/>
                <w:lang w:eastAsia="zh-TW"/>
              </w:rPr>
              <w:t>502</w:t>
            </w:r>
          </w:p>
        </w:tc>
      </w:tr>
      <w:tr w:rsidR="00D00C9A" w14:paraId="57144BB1" w14:textId="77777777" w:rsidTr="00EB7BA1">
        <w:trPr>
          <w:trHeight w:hRule="exact" w:val="370"/>
        </w:trPr>
        <w:tc>
          <w:tcPr>
            <w:tcW w:w="2345" w:type="dxa"/>
            <w:tcBorders>
              <w:top w:val="single" w:sz="3" w:space="0" w:color="000000"/>
              <w:left w:val="single" w:sz="3" w:space="0" w:color="000000"/>
              <w:bottom w:val="single" w:sz="3" w:space="0" w:color="000000"/>
              <w:right w:val="single" w:sz="3" w:space="0" w:color="000000"/>
            </w:tcBorders>
          </w:tcPr>
          <w:p w14:paraId="02FC91F6" w14:textId="77777777" w:rsidR="00D00C9A" w:rsidRDefault="002B1AD3">
            <w:pPr>
              <w:autoSpaceDE w:val="0"/>
              <w:autoSpaceDN w:val="0"/>
              <w:spacing w:before="37"/>
              <w:ind w:left="564"/>
            </w:pPr>
            <w:r>
              <w:rPr>
                <w:rFonts w:ascii="新細明體" w:eastAsia="新細明體" w:hAnsi="新細明體" w:cs="新細明體"/>
                <w:color w:val="323298"/>
                <w:spacing w:val="-3"/>
              </w:rPr>
              <w:t>增減</w:t>
            </w:r>
            <w:r>
              <w:rPr>
                <w:rFonts w:ascii="新細明體" w:eastAsia="新細明體" w:hAnsi="新細明體" w:cs="新細明體"/>
                <w:color w:val="323298"/>
                <w:spacing w:val="-2"/>
              </w:rPr>
              <w:t>百分比</w:t>
            </w:r>
          </w:p>
        </w:tc>
        <w:tc>
          <w:tcPr>
            <w:tcW w:w="2814" w:type="dxa"/>
            <w:tcBorders>
              <w:top w:val="single" w:sz="3" w:space="0" w:color="000000"/>
              <w:left w:val="single" w:sz="3" w:space="0" w:color="000000"/>
              <w:bottom w:val="single" w:sz="3" w:space="0" w:color="000000"/>
              <w:right w:val="single" w:sz="3" w:space="0" w:color="000000"/>
            </w:tcBorders>
          </w:tcPr>
          <w:p w14:paraId="2E7845A3" w14:textId="2C5DBC48" w:rsidR="00D00C9A" w:rsidRPr="001A2031" w:rsidRDefault="00CA584A" w:rsidP="001A2031">
            <w:pPr>
              <w:jc w:val="right"/>
              <w:rPr>
                <w:rFonts w:ascii="標楷體" w:eastAsia="標楷體" w:hAnsi="標楷體"/>
              </w:rPr>
            </w:pPr>
            <w:r>
              <w:rPr>
                <w:rFonts w:ascii="標楷體" w:eastAsia="標楷體" w:hAnsi="標楷體" w:hint="eastAsia"/>
                <w:lang w:eastAsia="zh-TW"/>
              </w:rPr>
              <w:t>1</w:t>
            </w:r>
            <w:r w:rsidR="00AC2B9C">
              <w:rPr>
                <w:rFonts w:ascii="標楷體" w:eastAsia="標楷體" w:hAnsi="標楷體" w:hint="eastAsia"/>
                <w:lang w:eastAsia="zh-TW"/>
              </w:rPr>
              <w:t>27</w:t>
            </w:r>
            <w:r w:rsidR="00394572" w:rsidRPr="001A2031">
              <w:rPr>
                <w:rFonts w:ascii="標楷體" w:eastAsia="標楷體" w:hAnsi="標楷體"/>
              </w:rPr>
              <w:t>.</w:t>
            </w:r>
            <w:r w:rsidR="00AC2B9C">
              <w:rPr>
                <w:rFonts w:ascii="標楷體" w:eastAsia="標楷體" w:hAnsi="標楷體" w:hint="eastAsia"/>
                <w:lang w:eastAsia="zh-TW"/>
              </w:rPr>
              <w:t>06</w:t>
            </w:r>
          </w:p>
        </w:tc>
      </w:tr>
      <w:tr w:rsidR="00CB25A2" w14:paraId="48292EDA"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40A8AF1A" w14:textId="77777777" w:rsidR="00CB25A2" w:rsidRDefault="00CB25A2" w:rsidP="00CB25A2">
            <w:pPr>
              <w:autoSpaceDE w:val="0"/>
              <w:autoSpaceDN w:val="0"/>
              <w:spacing w:before="37"/>
              <w:ind w:left="684"/>
            </w:pPr>
            <w:r>
              <w:rPr>
                <w:rFonts w:ascii="新細明體" w:eastAsia="新細明體" w:hAnsi="新細明體" w:cs="新細明體"/>
                <w:color w:val="323298"/>
                <w:spacing w:val="-4"/>
              </w:rPr>
              <w:t>本年</w:t>
            </w:r>
            <w:r>
              <w:rPr>
                <w:rFonts w:ascii="新細明體" w:eastAsia="新細明體" w:hAnsi="新細明體" w:cs="新細明體"/>
                <w:color w:val="323298"/>
                <w:spacing w:val="-2"/>
              </w:rPr>
              <w:t>累計</w:t>
            </w:r>
          </w:p>
        </w:tc>
        <w:tc>
          <w:tcPr>
            <w:tcW w:w="2814" w:type="dxa"/>
            <w:tcBorders>
              <w:top w:val="single" w:sz="3" w:space="0" w:color="000000"/>
              <w:left w:val="single" w:sz="3" w:space="0" w:color="000000"/>
              <w:bottom w:val="single" w:sz="3" w:space="0" w:color="000000"/>
              <w:right w:val="single" w:sz="3" w:space="0" w:color="000000"/>
            </w:tcBorders>
          </w:tcPr>
          <w:p w14:paraId="22523E35" w14:textId="0D4C5866" w:rsidR="00CB25A2" w:rsidRPr="001A2031" w:rsidRDefault="00AC2B9C" w:rsidP="00CB25A2">
            <w:pPr>
              <w:jc w:val="right"/>
              <w:rPr>
                <w:rFonts w:ascii="標楷體" w:eastAsia="標楷體" w:hAnsi="標楷體"/>
              </w:rPr>
            </w:pPr>
            <w:r>
              <w:rPr>
                <w:rFonts w:ascii="標楷體" w:eastAsia="標楷體" w:hAnsi="標楷體" w:hint="eastAsia"/>
                <w:lang w:eastAsia="zh-TW"/>
              </w:rPr>
              <w:t>213</w:t>
            </w:r>
            <w:r w:rsidR="00CB25A2" w:rsidRPr="001A2031">
              <w:rPr>
                <w:rFonts w:ascii="標楷體" w:eastAsia="標楷體" w:hAnsi="標楷體"/>
              </w:rPr>
              <w:t>,</w:t>
            </w:r>
            <w:r>
              <w:rPr>
                <w:rFonts w:ascii="標楷體" w:eastAsia="標楷體" w:hAnsi="標楷體" w:hint="eastAsia"/>
                <w:lang w:eastAsia="zh-TW"/>
              </w:rPr>
              <w:t>644</w:t>
            </w:r>
          </w:p>
        </w:tc>
      </w:tr>
      <w:tr w:rsidR="00CB25A2" w14:paraId="19E36468" w14:textId="77777777" w:rsidTr="00EB7BA1">
        <w:trPr>
          <w:trHeight w:hRule="exact" w:val="372"/>
        </w:trPr>
        <w:tc>
          <w:tcPr>
            <w:tcW w:w="2345" w:type="dxa"/>
            <w:tcBorders>
              <w:top w:val="single" w:sz="3" w:space="0" w:color="000000"/>
              <w:left w:val="single" w:sz="3" w:space="0" w:color="000000"/>
              <w:bottom w:val="single" w:sz="3" w:space="0" w:color="000000"/>
              <w:right w:val="single" w:sz="3" w:space="0" w:color="000000"/>
            </w:tcBorders>
          </w:tcPr>
          <w:p w14:paraId="6EF7327D" w14:textId="77777777" w:rsidR="00CB25A2" w:rsidRDefault="00CB25A2" w:rsidP="00CB25A2">
            <w:pPr>
              <w:autoSpaceDE w:val="0"/>
              <w:autoSpaceDN w:val="0"/>
              <w:spacing w:before="39"/>
              <w:ind w:left="684"/>
            </w:pPr>
            <w:r>
              <w:rPr>
                <w:rFonts w:ascii="新細明體" w:eastAsia="新細明體" w:hAnsi="新細明體" w:cs="新細明體"/>
                <w:color w:val="323298"/>
                <w:spacing w:val="-4"/>
              </w:rPr>
              <w:t>去年</w:t>
            </w:r>
            <w:r>
              <w:rPr>
                <w:rFonts w:ascii="新細明體" w:eastAsia="新細明體" w:hAnsi="新細明體" w:cs="新細明體"/>
                <w:color w:val="323298"/>
                <w:spacing w:val="-2"/>
              </w:rPr>
              <w:t>累計</w:t>
            </w:r>
          </w:p>
        </w:tc>
        <w:tc>
          <w:tcPr>
            <w:tcW w:w="2814" w:type="dxa"/>
            <w:tcBorders>
              <w:top w:val="single" w:sz="3" w:space="0" w:color="000000"/>
              <w:left w:val="single" w:sz="3" w:space="0" w:color="000000"/>
              <w:bottom w:val="single" w:sz="3" w:space="0" w:color="000000"/>
              <w:right w:val="single" w:sz="3" w:space="0" w:color="000000"/>
            </w:tcBorders>
          </w:tcPr>
          <w:p w14:paraId="1C58E8B0" w14:textId="6D80E019" w:rsidR="00CB25A2" w:rsidRPr="001A2031" w:rsidRDefault="00AC2B9C" w:rsidP="00CB25A2">
            <w:pPr>
              <w:jc w:val="right"/>
              <w:rPr>
                <w:rFonts w:ascii="標楷體" w:eastAsia="標楷體" w:hAnsi="標楷體"/>
              </w:rPr>
            </w:pPr>
            <w:r>
              <w:rPr>
                <w:rFonts w:ascii="標楷體" w:eastAsia="標楷體" w:hAnsi="標楷體" w:hint="eastAsia"/>
                <w:lang w:eastAsia="zh-TW"/>
              </w:rPr>
              <w:t>154</w:t>
            </w:r>
            <w:r w:rsidR="00CB25A2" w:rsidRPr="001A2031">
              <w:rPr>
                <w:rFonts w:ascii="標楷體" w:eastAsia="標楷體" w:hAnsi="標楷體"/>
              </w:rPr>
              <w:t>,</w:t>
            </w:r>
            <w:r w:rsidR="0007201A">
              <w:rPr>
                <w:rFonts w:ascii="標楷體" w:eastAsia="標楷體" w:hAnsi="標楷體"/>
              </w:rPr>
              <w:t>1</w:t>
            </w:r>
            <w:r>
              <w:rPr>
                <w:rFonts w:ascii="標楷體" w:eastAsia="標楷體" w:hAnsi="標楷體" w:hint="eastAsia"/>
                <w:lang w:eastAsia="zh-TW"/>
              </w:rPr>
              <w:t>52</w:t>
            </w:r>
          </w:p>
        </w:tc>
      </w:tr>
      <w:tr w:rsidR="00CB25A2" w14:paraId="532C6D00"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438FB3A9" w14:textId="77777777" w:rsidR="00CB25A2" w:rsidRDefault="00CB25A2" w:rsidP="00CB25A2">
            <w:pPr>
              <w:autoSpaceDE w:val="0"/>
              <w:autoSpaceDN w:val="0"/>
              <w:spacing w:before="37"/>
              <w:ind w:left="684"/>
            </w:pPr>
            <w:r>
              <w:rPr>
                <w:rFonts w:ascii="新細明體" w:eastAsia="新細明體" w:hAnsi="新細明體" w:cs="新細明體"/>
                <w:color w:val="323298"/>
                <w:spacing w:val="-4"/>
              </w:rPr>
              <w:t>增減</w:t>
            </w:r>
            <w:r>
              <w:rPr>
                <w:rFonts w:ascii="新細明體" w:eastAsia="新細明體" w:hAnsi="新細明體" w:cs="新細明體"/>
                <w:color w:val="323298"/>
                <w:spacing w:val="-2"/>
              </w:rPr>
              <w:t>金額</w:t>
            </w:r>
          </w:p>
        </w:tc>
        <w:tc>
          <w:tcPr>
            <w:tcW w:w="2814" w:type="dxa"/>
            <w:tcBorders>
              <w:top w:val="single" w:sz="3" w:space="0" w:color="000000"/>
              <w:left w:val="single" w:sz="3" w:space="0" w:color="000000"/>
              <w:bottom w:val="single" w:sz="3" w:space="0" w:color="000000"/>
              <w:right w:val="single" w:sz="3" w:space="0" w:color="000000"/>
            </w:tcBorders>
          </w:tcPr>
          <w:p w14:paraId="7AEC37FA" w14:textId="0F55DA16" w:rsidR="00CB25A2" w:rsidRPr="001A2031" w:rsidRDefault="00AC2B9C" w:rsidP="00CB25A2">
            <w:pPr>
              <w:jc w:val="right"/>
              <w:rPr>
                <w:rFonts w:ascii="標楷體" w:eastAsia="標楷體" w:hAnsi="標楷體"/>
              </w:rPr>
            </w:pPr>
            <w:r>
              <w:rPr>
                <w:rFonts w:ascii="標楷體" w:eastAsia="標楷體" w:hAnsi="標楷體" w:hint="eastAsia"/>
                <w:lang w:eastAsia="zh-TW"/>
              </w:rPr>
              <w:t>59</w:t>
            </w:r>
            <w:r w:rsidR="00CB25A2">
              <w:rPr>
                <w:rFonts w:ascii="標楷體" w:eastAsia="標楷體" w:hAnsi="標楷體" w:hint="eastAsia"/>
                <w:lang w:eastAsia="zh-TW"/>
              </w:rPr>
              <w:t>,</w:t>
            </w:r>
            <w:r>
              <w:rPr>
                <w:rFonts w:ascii="標楷體" w:eastAsia="標楷體" w:hAnsi="標楷體" w:hint="eastAsia"/>
                <w:lang w:eastAsia="zh-TW"/>
              </w:rPr>
              <w:t>492</w:t>
            </w:r>
          </w:p>
        </w:tc>
      </w:tr>
      <w:tr w:rsidR="00CB25A2" w14:paraId="15192823" w14:textId="77777777" w:rsidTr="00EB7BA1">
        <w:trPr>
          <w:trHeight w:hRule="exact" w:val="384"/>
        </w:trPr>
        <w:tc>
          <w:tcPr>
            <w:tcW w:w="2345" w:type="dxa"/>
            <w:tcBorders>
              <w:top w:val="single" w:sz="3" w:space="0" w:color="000000"/>
              <w:left w:val="single" w:sz="3" w:space="0" w:color="000000"/>
              <w:bottom w:val="single" w:sz="3" w:space="0" w:color="000000"/>
              <w:right w:val="single" w:sz="3" w:space="0" w:color="000000"/>
            </w:tcBorders>
          </w:tcPr>
          <w:p w14:paraId="6A5E8A84" w14:textId="77777777" w:rsidR="00CB25A2" w:rsidRDefault="00CB25A2" w:rsidP="00CB25A2">
            <w:pPr>
              <w:autoSpaceDE w:val="0"/>
              <w:autoSpaceDN w:val="0"/>
              <w:spacing w:before="37"/>
              <w:ind w:left="564"/>
            </w:pPr>
            <w:r>
              <w:rPr>
                <w:rFonts w:ascii="新細明體" w:eastAsia="新細明體" w:hAnsi="新細明體" w:cs="新細明體"/>
                <w:color w:val="323298"/>
                <w:spacing w:val="-3"/>
              </w:rPr>
              <w:t>增減</w:t>
            </w:r>
            <w:r>
              <w:rPr>
                <w:rFonts w:ascii="新細明體" w:eastAsia="新細明體" w:hAnsi="新細明體" w:cs="新細明體"/>
                <w:color w:val="323298"/>
                <w:spacing w:val="-2"/>
              </w:rPr>
              <w:t>百分比</w:t>
            </w:r>
          </w:p>
        </w:tc>
        <w:tc>
          <w:tcPr>
            <w:tcW w:w="2814" w:type="dxa"/>
            <w:tcBorders>
              <w:top w:val="single" w:sz="3" w:space="0" w:color="000000"/>
              <w:left w:val="single" w:sz="3" w:space="0" w:color="000000"/>
              <w:bottom w:val="single" w:sz="3" w:space="0" w:color="000000"/>
              <w:right w:val="single" w:sz="3" w:space="0" w:color="000000"/>
            </w:tcBorders>
          </w:tcPr>
          <w:p w14:paraId="47F4CAE9" w14:textId="2C516F47" w:rsidR="00CB25A2" w:rsidRPr="001A2031" w:rsidRDefault="00AC2B9C" w:rsidP="00CB25A2">
            <w:pPr>
              <w:jc w:val="right"/>
              <w:rPr>
                <w:rFonts w:ascii="標楷體" w:eastAsia="標楷體" w:hAnsi="標楷體"/>
              </w:rPr>
            </w:pPr>
            <w:r>
              <w:rPr>
                <w:rFonts w:ascii="標楷體" w:eastAsia="標楷體" w:hAnsi="標楷體" w:hint="eastAsia"/>
                <w:lang w:eastAsia="zh-TW"/>
              </w:rPr>
              <w:t>38</w:t>
            </w:r>
            <w:r w:rsidR="00CB25A2" w:rsidRPr="001A2031">
              <w:rPr>
                <w:rFonts w:ascii="標楷體" w:eastAsia="標楷體" w:hAnsi="標楷體"/>
              </w:rPr>
              <w:t>.</w:t>
            </w:r>
            <w:r>
              <w:rPr>
                <w:rFonts w:ascii="標楷體" w:eastAsia="標楷體" w:hAnsi="標楷體" w:hint="eastAsia"/>
                <w:lang w:eastAsia="zh-TW"/>
              </w:rPr>
              <w:t>59</w:t>
            </w:r>
          </w:p>
        </w:tc>
      </w:tr>
    </w:tbl>
    <w:p w14:paraId="012571E1" w14:textId="77777777" w:rsidR="00D00C9A" w:rsidRDefault="00D00C9A">
      <w:pPr>
        <w:sectPr w:rsidR="00D00C9A">
          <w:type w:val="continuous"/>
          <w:pgSz w:w="11906" w:h="16838"/>
          <w:pgMar w:top="0" w:right="0" w:bottom="0" w:left="0" w:header="0" w:footer="0" w:gutter="0"/>
          <w:cols w:space="720"/>
        </w:sectPr>
      </w:pPr>
    </w:p>
    <w:p w14:paraId="148E69D5" w14:textId="77777777" w:rsidR="00D00C9A" w:rsidRDefault="00D00C9A">
      <w:pPr>
        <w:spacing w:line="200" w:lineRule="exact"/>
      </w:pPr>
    </w:p>
    <w:p w14:paraId="367EC07C" w14:textId="77777777" w:rsidR="00D00C9A" w:rsidRDefault="00D00C9A">
      <w:pPr>
        <w:sectPr w:rsidR="00D00C9A">
          <w:type w:val="continuous"/>
          <w:pgSz w:w="11906" w:h="16838"/>
          <w:pgMar w:top="0" w:right="0" w:bottom="0" w:left="0" w:header="0" w:footer="0" w:gutter="0"/>
          <w:cols w:space="720"/>
        </w:sectPr>
      </w:pPr>
    </w:p>
    <w:p w14:paraId="37AB2B8D" w14:textId="77777777" w:rsidR="00D00C9A" w:rsidRDefault="00D00C9A">
      <w:pPr>
        <w:spacing w:line="200" w:lineRule="exact"/>
      </w:pPr>
    </w:p>
    <w:p w14:paraId="3CB2A1EE" w14:textId="77777777" w:rsidR="00D00C9A" w:rsidRDefault="00D00C9A">
      <w:pPr>
        <w:sectPr w:rsidR="00D00C9A">
          <w:type w:val="continuous"/>
          <w:pgSz w:w="11906" w:h="16838"/>
          <w:pgMar w:top="0" w:right="0" w:bottom="0" w:left="0" w:header="0" w:footer="0" w:gutter="0"/>
          <w:cols w:space="720"/>
        </w:sectPr>
      </w:pPr>
    </w:p>
    <w:p w14:paraId="2BFAFBE8" w14:textId="77777777" w:rsidR="00D00C9A" w:rsidRDefault="00D00C9A">
      <w:pPr>
        <w:spacing w:line="312" w:lineRule="exact"/>
      </w:pPr>
    </w:p>
    <w:p w14:paraId="569EC1F4" w14:textId="77777777" w:rsidR="00D00C9A" w:rsidRDefault="00D00C9A">
      <w:pPr>
        <w:sectPr w:rsidR="00D00C9A">
          <w:type w:val="continuous"/>
          <w:pgSz w:w="11906" w:h="16838"/>
          <w:pgMar w:top="0" w:right="0" w:bottom="0" w:left="0" w:header="0" w:footer="0" w:gutter="0"/>
          <w:cols w:space="720"/>
        </w:sectPr>
      </w:pPr>
    </w:p>
    <w:p w14:paraId="2383A335" w14:textId="77777777" w:rsidR="00D00C9A" w:rsidRDefault="002B1AD3">
      <w:pPr>
        <w:autoSpaceDE w:val="0"/>
        <w:autoSpaceDN w:val="0"/>
        <w:spacing w:line="276" w:lineRule="auto"/>
        <w:ind w:left="2160" w:right="2203" w:hanging="359"/>
        <w:rPr>
          <w:lang w:eastAsia="zh-TW"/>
        </w:rPr>
      </w:pPr>
      <w:r>
        <w:rPr>
          <w:rFonts w:ascii="Times New Roman" w:eastAsia="Times New Roman" w:hAnsi="Times New Roman" w:cs="Times New Roman"/>
          <w:color w:val="000000"/>
          <w:lang w:eastAsia="zh-TW"/>
        </w:rPr>
        <w:t>1.</w:t>
      </w:r>
      <w:r>
        <w:rPr>
          <w:rFonts w:ascii="Times New Roman" w:eastAsia="Times New Roman" w:hAnsi="Times New Roman" w:cs="Times New Roman"/>
          <w:spacing w:val="12"/>
          <w:lang w:eastAsia="zh-TW"/>
        </w:rPr>
        <w:t xml:space="preserve">  </w:t>
      </w:r>
      <w:r>
        <w:rPr>
          <w:rFonts w:ascii="新細明體" w:eastAsia="新細明體" w:hAnsi="新細明體" w:cs="新細明體"/>
          <w:color w:val="000000"/>
          <w:lang w:eastAsia="zh-TW"/>
        </w:rPr>
        <w:t>各項增減百分比資訊，如數值逾越</w:t>
      </w:r>
      <w:r>
        <w:rPr>
          <w:rFonts w:ascii="新細明體" w:eastAsia="新細明體" w:hAnsi="新細明體" w:cs="新細明體"/>
          <w:spacing w:val="13"/>
          <w:lang w:eastAsia="zh-TW"/>
        </w:rPr>
        <w:t xml:space="preserve"> </w:t>
      </w:r>
      <w:r>
        <w:rPr>
          <w:rFonts w:ascii="Times New Roman" w:eastAsia="Times New Roman" w:hAnsi="Times New Roman" w:cs="Times New Roman"/>
          <w:color w:val="000000"/>
          <w:lang w:eastAsia="zh-TW"/>
        </w:rPr>
        <w:t>999999.99</w:t>
      </w:r>
      <w:r>
        <w:rPr>
          <w:rFonts w:ascii="Times New Roman" w:eastAsia="Times New Roman" w:hAnsi="Times New Roman" w:cs="Times New Roman"/>
          <w:spacing w:val="13"/>
          <w:lang w:eastAsia="zh-TW"/>
        </w:rPr>
        <w:t xml:space="preserve"> </w:t>
      </w:r>
      <w:r>
        <w:rPr>
          <w:rFonts w:ascii="新細明體" w:eastAsia="新細明體" w:hAnsi="新細明體" w:cs="新細明體"/>
          <w:color w:val="000000"/>
          <w:lang w:eastAsia="zh-TW"/>
        </w:rPr>
        <w:t>或分母為零</w:t>
      </w:r>
      <w:r>
        <w:rPr>
          <w:rFonts w:ascii="Times New Roman" w:eastAsia="Times New Roman" w:hAnsi="Times New Roman" w:cs="Times New Roman"/>
          <w:color w:val="000000"/>
          <w:lang w:eastAsia="zh-TW"/>
        </w:rPr>
        <w:t>(</w:t>
      </w:r>
      <w:r>
        <w:rPr>
          <w:rFonts w:ascii="新細明體" w:eastAsia="新細明體" w:hAnsi="新細明體" w:cs="新細明體"/>
          <w:color w:val="000000"/>
          <w:lang w:eastAsia="zh-TW"/>
        </w:rPr>
        <w:t>無法計算</w:t>
      </w:r>
      <w:r>
        <w:rPr>
          <w:rFonts w:ascii="Times New Roman" w:eastAsia="Times New Roman" w:hAnsi="Times New Roman" w:cs="Times New Roman"/>
          <w:color w:val="000000"/>
          <w:lang w:eastAsia="zh-TW"/>
        </w:rPr>
        <w:t>)</w:t>
      </w:r>
      <w:r>
        <w:rPr>
          <w:rFonts w:ascii="新細明體" w:eastAsia="新細明體" w:hAnsi="新細明體" w:cs="新細明體"/>
          <w:color w:val="000000"/>
          <w:lang w:eastAsia="zh-TW"/>
        </w:rPr>
        <w:t>，則以</w:t>
      </w:r>
      <w:r>
        <w:rPr>
          <w:rFonts w:ascii="新細明體" w:eastAsia="新細明體" w:hAnsi="新細明體" w:cs="新細明體"/>
          <w:lang w:eastAsia="zh-TW"/>
        </w:rPr>
        <w:t xml:space="preserve"> </w:t>
      </w:r>
      <w:r>
        <w:rPr>
          <w:rFonts w:ascii="Times New Roman" w:eastAsia="Times New Roman" w:hAnsi="Times New Roman" w:cs="Times New Roman"/>
          <w:color w:val="000000"/>
          <w:lang w:eastAsia="zh-TW"/>
        </w:rPr>
        <w:t>999999.99</w:t>
      </w:r>
      <w:r>
        <w:rPr>
          <w:rFonts w:ascii="Times New Roman" w:eastAsia="Times New Roman" w:hAnsi="Times New Roman" w:cs="Times New Roman"/>
          <w:spacing w:val="-6"/>
          <w:lang w:eastAsia="zh-TW"/>
        </w:rPr>
        <w:t xml:space="preserve"> </w:t>
      </w:r>
      <w:r>
        <w:rPr>
          <w:rFonts w:ascii="新細明體" w:eastAsia="新細明體" w:hAnsi="新細明體" w:cs="新細明體"/>
          <w:color w:val="000000"/>
          <w:lang w:eastAsia="zh-TW"/>
        </w:rPr>
        <w:t>表示</w:t>
      </w:r>
    </w:p>
    <w:p w14:paraId="0C18DB82" w14:textId="77777777" w:rsidR="00D00C9A" w:rsidRDefault="002B1AD3">
      <w:pPr>
        <w:autoSpaceDE w:val="0"/>
        <w:autoSpaceDN w:val="0"/>
        <w:spacing w:before="2"/>
        <w:ind w:left="1800"/>
        <w:rPr>
          <w:lang w:eastAsia="zh-TW"/>
        </w:rPr>
      </w:pPr>
      <w:r>
        <w:rPr>
          <w:rFonts w:ascii="Times New Roman" w:eastAsia="Times New Roman" w:hAnsi="Times New Roman" w:cs="Times New Roman"/>
          <w:color w:val="000000"/>
          <w:lang w:eastAsia="zh-TW"/>
        </w:rPr>
        <w:t>2.</w:t>
      </w:r>
      <w:r>
        <w:rPr>
          <w:rFonts w:ascii="Times New Roman" w:eastAsia="Times New Roman" w:hAnsi="Times New Roman" w:cs="Times New Roman"/>
          <w:lang w:eastAsia="zh-TW"/>
        </w:rPr>
        <w:t xml:space="preserve">  </w:t>
      </w:r>
      <w:r>
        <w:rPr>
          <w:rFonts w:ascii="新細明體" w:eastAsia="新細明體" w:hAnsi="新細明體" w:cs="新細明體"/>
          <w:color w:val="000000"/>
          <w:spacing w:val="1"/>
          <w:lang w:eastAsia="zh-TW"/>
        </w:rPr>
        <w:t>合併營業收入係將母子公司及各子公司間重複營收部份消除後所得數字</w:t>
      </w:r>
      <w:r>
        <w:rPr>
          <w:rFonts w:ascii="新細明體" w:eastAsia="新細明體" w:hAnsi="新細明體" w:cs="新細明體"/>
          <w:color w:val="000000"/>
          <w:spacing w:val="27"/>
          <w:lang w:eastAsia="zh-TW"/>
        </w:rPr>
        <w:t>。</w:t>
      </w:r>
    </w:p>
    <w:p w14:paraId="30A9C6FF" w14:textId="77777777" w:rsidR="00D00C9A" w:rsidRDefault="002B1AD3">
      <w:pPr>
        <w:autoSpaceDE w:val="0"/>
        <w:autoSpaceDN w:val="0"/>
        <w:spacing w:before="48"/>
        <w:ind w:left="1800"/>
        <w:rPr>
          <w:lang w:eastAsia="zh-TW"/>
        </w:rPr>
      </w:pPr>
      <w:r>
        <w:rPr>
          <w:rFonts w:ascii="Times New Roman" w:eastAsia="Times New Roman" w:hAnsi="Times New Roman" w:cs="Times New Roman"/>
          <w:color w:val="000000"/>
          <w:lang w:eastAsia="zh-TW"/>
        </w:rPr>
        <w:t>3.</w:t>
      </w:r>
      <w:r>
        <w:rPr>
          <w:rFonts w:ascii="Times New Roman" w:eastAsia="Times New Roman" w:hAnsi="Times New Roman" w:cs="Times New Roman"/>
          <w:spacing w:val="-6"/>
          <w:lang w:eastAsia="zh-TW"/>
        </w:rPr>
        <w:t xml:space="preserve">  </w:t>
      </w:r>
      <w:r>
        <w:rPr>
          <w:rFonts w:ascii="新細明體" w:eastAsia="新細明體" w:hAnsi="新細明體" w:cs="新細明體"/>
          <w:color w:val="000000"/>
          <w:lang w:eastAsia="zh-TW"/>
        </w:rPr>
        <w:t>自民國</w:t>
      </w:r>
      <w:r>
        <w:rPr>
          <w:rFonts w:ascii="新細明體" w:eastAsia="新細明體" w:hAnsi="新細明體" w:cs="新細明體"/>
          <w:spacing w:val="-8"/>
          <w:lang w:eastAsia="zh-TW"/>
        </w:rPr>
        <w:t xml:space="preserve"> </w:t>
      </w:r>
      <w:r>
        <w:rPr>
          <w:rFonts w:ascii="Times New Roman" w:eastAsia="Times New Roman" w:hAnsi="Times New Roman" w:cs="Times New Roman"/>
          <w:color w:val="000000"/>
          <w:lang w:eastAsia="zh-TW"/>
        </w:rPr>
        <w:t>95</w:t>
      </w:r>
      <w:r>
        <w:rPr>
          <w:rFonts w:ascii="Times New Roman" w:eastAsia="Times New Roman" w:hAnsi="Times New Roman" w:cs="Times New Roman"/>
          <w:spacing w:val="-7"/>
          <w:lang w:eastAsia="zh-TW"/>
        </w:rPr>
        <w:t xml:space="preserve"> </w:t>
      </w:r>
      <w:r>
        <w:rPr>
          <w:rFonts w:ascii="新細明體" w:eastAsia="新細明體" w:hAnsi="新細明體" w:cs="新細明體"/>
          <w:color w:val="000000"/>
          <w:lang w:eastAsia="zh-TW"/>
        </w:rPr>
        <w:t>年</w:t>
      </w:r>
      <w:r>
        <w:rPr>
          <w:rFonts w:ascii="新細明體" w:eastAsia="新細明體" w:hAnsi="新細明體" w:cs="新細明體"/>
          <w:spacing w:val="-7"/>
          <w:lang w:eastAsia="zh-TW"/>
        </w:rPr>
        <w:t xml:space="preserve"> </w:t>
      </w:r>
      <w:r>
        <w:rPr>
          <w:rFonts w:ascii="Times New Roman" w:eastAsia="Times New Roman" w:hAnsi="Times New Roman" w:cs="Times New Roman"/>
          <w:color w:val="000000"/>
          <w:lang w:eastAsia="zh-TW"/>
        </w:rPr>
        <w:t>1</w:t>
      </w:r>
      <w:r>
        <w:rPr>
          <w:rFonts w:ascii="Times New Roman" w:eastAsia="Times New Roman" w:hAnsi="Times New Roman" w:cs="Times New Roman"/>
          <w:spacing w:val="-8"/>
          <w:lang w:eastAsia="zh-TW"/>
        </w:rPr>
        <w:t xml:space="preserve"> </w:t>
      </w:r>
      <w:r>
        <w:rPr>
          <w:rFonts w:ascii="新細明體" w:eastAsia="新細明體" w:hAnsi="新細明體" w:cs="新細明體"/>
          <w:color w:val="000000"/>
          <w:lang w:eastAsia="zh-TW"/>
        </w:rPr>
        <w:t>月起，金融業之各項營業收入係以淨額申報，其營業收入淨額</w:t>
      </w:r>
    </w:p>
    <w:p w14:paraId="7C43E406" w14:textId="77777777" w:rsidR="00D00C9A" w:rsidRDefault="002B1AD3">
      <w:pPr>
        <w:autoSpaceDE w:val="0"/>
        <w:autoSpaceDN w:val="0"/>
        <w:spacing w:before="67"/>
        <w:ind w:left="2160"/>
        <w:rPr>
          <w:lang w:eastAsia="zh-TW"/>
        </w:rPr>
      </w:pPr>
      <w:r>
        <w:rPr>
          <w:rFonts w:ascii="新細明體" w:eastAsia="新細明體" w:hAnsi="新細明體" w:cs="新細明體"/>
          <w:color w:val="000000"/>
          <w:lang w:eastAsia="zh-TW"/>
        </w:rPr>
        <w:t>係指</w:t>
      </w:r>
      <w:r>
        <w:rPr>
          <w:rFonts w:ascii="新細明體" w:eastAsia="新細明體" w:hAnsi="新細明體" w:cs="新細明體"/>
          <w:color w:val="000000"/>
          <w:spacing w:val="-1"/>
          <w:lang w:eastAsia="zh-TW"/>
        </w:rPr>
        <w:t>"淨收益</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1"/>
          <w:lang w:eastAsia="zh-TW"/>
        </w:rPr>
        <w:t>。</w:t>
      </w:r>
    </w:p>
    <w:p w14:paraId="538FADA5" w14:textId="77777777" w:rsidR="00D00C9A" w:rsidRDefault="002B1AD3">
      <w:pPr>
        <w:autoSpaceDE w:val="0"/>
        <w:autoSpaceDN w:val="0"/>
        <w:spacing w:before="28" w:line="278" w:lineRule="auto"/>
        <w:ind w:left="2160" w:right="1798" w:hanging="359"/>
        <w:rPr>
          <w:lang w:eastAsia="zh-TW"/>
        </w:rPr>
      </w:pPr>
      <w:r>
        <w:rPr>
          <w:rFonts w:ascii="Times New Roman" w:eastAsia="Times New Roman" w:hAnsi="Times New Roman" w:cs="Times New Roman"/>
          <w:color w:val="000000"/>
          <w:lang w:eastAsia="zh-TW"/>
        </w:rPr>
        <w:t>4.</w:t>
      </w:r>
      <w:r>
        <w:rPr>
          <w:rFonts w:ascii="Times New Roman" w:eastAsia="Times New Roman" w:hAnsi="Times New Roman" w:cs="Times New Roman"/>
          <w:spacing w:val="11"/>
          <w:lang w:eastAsia="zh-TW"/>
        </w:rPr>
        <w:t xml:space="preserve">  </w:t>
      </w:r>
      <w:r>
        <w:rPr>
          <w:rFonts w:ascii="新細明體" w:eastAsia="新細明體" w:hAnsi="新細明體" w:cs="新細明體"/>
          <w:color w:val="000000"/>
          <w:lang w:eastAsia="zh-TW"/>
        </w:rPr>
        <w:t>上市櫃公司、興櫃公司、及金管會主管之金融業自民國</w:t>
      </w:r>
      <w:r>
        <w:rPr>
          <w:rFonts w:ascii="新細明體" w:eastAsia="新細明體" w:hAnsi="新細明體" w:cs="新細明體"/>
          <w:spacing w:val="11"/>
          <w:lang w:eastAsia="zh-TW"/>
        </w:rPr>
        <w:t xml:space="preserve"> </w:t>
      </w:r>
      <w:r>
        <w:rPr>
          <w:rFonts w:ascii="新細明體" w:eastAsia="新細明體" w:hAnsi="新細明體" w:cs="新細明體"/>
          <w:color w:val="000000"/>
          <w:lang w:eastAsia="zh-TW"/>
        </w:rPr>
        <w:t>102</w:t>
      </w:r>
      <w:r>
        <w:rPr>
          <w:rFonts w:ascii="新細明體" w:eastAsia="新細明體" w:hAnsi="新細明體" w:cs="新細明體"/>
          <w:spacing w:val="12"/>
          <w:lang w:eastAsia="zh-TW"/>
        </w:rPr>
        <w:t xml:space="preserve"> </w:t>
      </w:r>
      <w:r>
        <w:rPr>
          <w:rFonts w:ascii="新細明體" w:eastAsia="新細明體" w:hAnsi="新細明體" w:cs="新細明體"/>
          <w:color w:val="000000"/>
          <w:lang w:eastAsia="zh-TW"/>
        </w:rPr>
        <w:t>年起適用</w:t>
      </w:r>
      <w:r>
        <w:rPr>
          <w:rFonts w:ascii="新細明體" w:eastAsia="新細明體" w:hAnsi="新細明體" w:cs="新細明體"/>
          <w:spacing w:val="11"/>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color w:val="000000"/>
          <w:spacing w:val="-2"/>
          <w:lang w:eastAsia="zh-TW"/>
        </w:rPr>
        <w:t>非上市上櫃興櫃之公發</w:t>
      </w:r>
      <w:r>
        <w:rPr>
          <w:rFonts w:ascii="新細明體" w:eastAsia="新細明體" w:hAnsi="新細明體" w:cs="新細明體"/>
          <w:color w:val="000000"/>
          <w:lang w:eastAsia="zh-TW"/>
        </w:rPr>
        <w:t>公司</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2"/>
          <w:lang w:eastAsia="zh-TW"/>
        </w:rPr>
        <w:t>含金控子公司為公發公司之非金融業</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2"/>
          <w:lang w:eastAsia="zh-TW"/>
        </w:rPr>
        <w:t>投控</w:t>
      </w:r>
      <w:r>
        <w:rPr>
          <w:rFonts w:ascii="新細明體" w:eastAsia="新細明體" w:hAnsi="新細明體" w:cs="新細明體"/>
          <w:color w:val="000000"/>
          <w:spacing w:val="-1"/>
          <w:lang w:eastAsia="zh-TW"/>
        </w:rPr>
        <w:t>子公</w:t>
      </w:r>
      <w:r>
        <w:rPr>
          <w:rFonts w:ascii="新細明體" w:eastAsia="新細明體" w:hAnsi="新細明體" w:cs="新細明體"/>
          <w:color w:val="000000"/>
          <w:lang w:eastAsia="zh-TW"/>
        </w:rPr>
        <w:t>司為公發公司者)，自民國</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104</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年起適用</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IFRSs。配合</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spacing w:val="-8"/>
          <w:lang w:eastAsia="zh-TW"/>
        </w:rPr>
        <w:t xml:space="preserve"> </w:t>
      </w:r>
      <w:r>
        <w:rPr>
          <w:rFonts w:ascii="新細明體" w:eastAsia="新細明體" w:hAnsi="新細明體" w:cs="新細明體"/>
          <w:color w:val="000000"/>
          <w:lang w:eastAsia="zh-TW"/>
        </w:rPr>
        <w:t>實施，營業收入</w:t>
      </w:r>
      <w:r>
        <w:rPr>
          <w:rFonts w:ascii="新細明體" w:eastAsia="新細明體" w:hAnsi="新細明體" w:cs="新細明體"/>
          <w:color w:val="000000"/>
          <w:spacing w:val="-1"/>
          <w:lang w:eastAsia="zh-TW"/>
        </w:rPr>
        <w:t>係以合併營業收入申報</w:t>
      </w:r>
      <w:r>
        <w:rPr>
          <w:rFonts w:ascii="新細明體" w:eastAsia="新細明體" w:hAnsi="新細明體" w:cs="新細明體"/>
          <w:color w:val="000000"/>
          <w:spacing w:val="-4"/>
          <w:lang w:eastAsia="zh-TW"/>
        </w:rPr>
        <w:t>;</w:t>
      </w:r>
      <w:r>
        <w:rPr>
          <w:rFonts w:ascii="新細明體" w:eastAsia="新細明體" w:hAnsi="新細明體" w:cs="新細明體"/>
          <w:color w:val="000000"/>
          <w:spacing w:val="-1"/>
          <w:lang w:eastAsia="zh-TW"/>
        </w:rPr>
        <w:t>若依規定無須編製合併報表者</w:t>
      </w:r>
      <w:r>
        <w:rPr>
          <w:rFonts w:ascii="新細明體" w:eastAsia="新細明體" w:hAnsi="新細明體" w:cs="新細明體"/>
          <w:color w:val="000000"/>
          <w:spacing w:val="-6"/>
          <w:lang w:eastAsia="zh-TW"/>
        </w:rPr>
        <w:t>，</w:t>
      </w:r>
      <w:r>
        <w:rPr>
          <w:rFonts w:ascii="新細明體" w:eastAsia="新細明體" w:hAnsi="新細明體" w:cs="新細明體"/>
          <w:color w:val="000000"/>
          <w:spacing w:val="-2"/>
          <w:lang w:eastAsia="zh-TW"/>
        </w:rPr>
        <w:t>則以個別</w:t>
      </w:r>
      <w:r>
        <w:rPr>
          <w:rFonts w:ascii="新細明體" w:eastAsia="新細明體" w:hAnsi="新細明體" w:cs="新細明體"/>
          <w:color w:val="000000"/>
          <w:spacing w:val="-1"/>
          <w:lang w:eastAsia="zh-TW"/>
        </w:rPr>
        <w:t>營業收入申</w:t>
      </w:r>
      <w:r>
        <w:rPr>
          <w:rFonts w:ascii="新細明體" w:eastAsia="新細明體" w:hAnsi="新細明體" w:cs="新細明體"/>
          <w:color w:val="000000"/>
          <w:lang w:eastAsia="zh-TW"/>
        </w:rPr>
        <w:t>報;自願提前適用</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spacing w:val="-15"/>
          <w:lang w:eastAsia="zh-TW"/>
        </w:rPr>
        <w:t xml:space="preserve"> </w:t>
      </w:r>
      <w:r>
        <w:rPr>
          <w:rFonts w:ascii="新細明體" w:eastAsia="新細明體" w:hAnsi="新細明體" w:cs="新細明體"/>
          <w:color w:val="000000"/>
          <w:lang w:eastAsia="zh-TW"/>
        </w:rPr>
        <w:t>者亦同。另金控子公司為非公發公司之非金融業、投控子公司為非公發公司者，依現行規定申報個體營收資訊</w:t>
      </w:r>
      <w:r>
        <w:rPr>
          <w:rFonts w:ascii="新細明體" w:eastAsia="新細明體" w:hAnsi="新細明體" w:cs="新細明體"/>
          <w:color w:val="000000"/>
          <w:spacing w:val="-2"/>
          <w:lang w:eastAsia="zh-TW"/>
        </w:rPr>
        <w:t>。</w:t>
      </w:r>
    </w:p>
    <w:p w14:paraId="4A056955" w14:textId="77777777" w:rsidR="00D00C9A" w:rsidRDefault="002B1AD3">
      <w:pPr>
        <w:autoSpaceDE w:val="0"/>
        <w:autoSpaceDN w:val="0"/>
        <w:ind w:left="1800"/>
        <w:rPr>
          <w:lang w:eastAsia="zh-TW"/>
        </w:rPr>
      </w:pPr>
      <w:r>
        <w:rPr>
          <w:rFonts w:ascii="Times New Roman" w:eastAsia="Times New Roman" w:hAnsi="Times New Roman" w:cs="Times New Roman"/>
          <w:color w:val="000000"/>
          <w:lang w:eastAsia="zh-TW"/>
        </w:rPr>
        <w:t>5.</w:t>
      </w:r>
      <w:r>
        <w:rPr>
          <w:rFonts w:ascii="Times New Roman" w:eastAsia="Times New Roman" w:hAnsi="Times New Roman" w:cs="Times New Roman"/>
          <w:spacing w:val="5"/>
          <w:lang w:eastAsia="zh-TW"/>
        </w:rPr>
        <w:t xml:space="preserve">  </w:t>
      </w:r>
      <w:r>
        <w:rPr>
          <w:rFonts w:ascii="新細明體" w:eastAsia="新細明體" w:hAnsi="新細明體" w:cs="新細明體"/>
          <w:color w:val="000000"/>
          <w:lang w:eastAsia="zh-TW"/>
        </w:rPr>
        <w:t>自民國</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102</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年</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1</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月起，配合</w:t>
      </w:r>
      <w:r>
        <w:rPr>
          <w:rFonts w:ascii="新細明體" w:eastAsia="新細明體" w:hAnsi="新細明體" w:cs="新細明體"/>
          <w:spacing w:val="5"/>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實施，金控業之營業收入係以淨額申報，</w:t>
      </w:r>
    </w:p>
    <w:p w14:paraId="4CA6CC47" w14:textId="77777777" w:rsidR="00D00C9A" w:rsidRDefault="002B1AD3">
      <w:pPr>
        <w:autoSpaceDE w:val="0"/>
        <w:autoSpaceDN w:val="0"/>
        <w:spacing w:before="59"/>
        <w:ind w:left="2160"/>
        <w:rPr>
          <w:lang w:eastAsia="zh-TW"/>
        </w:rPr>
      </w:pPr>
      <w:r>
        <w:rPr>
          <w:rFonts w:ascii="新細明體" w:eastAsia="新細明體" w:hAnsi="新細明體" w:cs="新細明體"/>
          <w:color w:val="000000"/>
          <w:lang w:eastAsia="zh-TW"/>
        </w:rPr>
        <w:t>其營業收入淨額係指</w:t>
      </w:r>
      <w:r>
        <w:rPr>
          <w:rFonts w:ascii="新細明體" w:eastAsia="新細明體" w:hAnsi="新細明體" w:cs="新細明體"/>
          <w:color w:val="000000"/>
          <w:spacing w:val="-2"/>
          <w:lang w:eastAsia="zh-TW"/>
        </w:rPr>
        <w:t>"</w:t>
      </w:r>
      <w:r>
        <w:rPr>
          <w:rFonts w:ascii="新細明體" w:eastAsia="新細明體" w:hAnsi="新細明體" w:cs="新細明體"/>
          <w:color w:val="000000"/>
          <w:lang w:eastAsia="zh-TW"/>
        </w:rPr>
        <w:t>淨收益</w:t>
      </w:r>
      <w:r>
        <w:rPr>
          <w:rFonts w:ascii="新細明體" w:eastAsia="新細明體" w:hAnsi="新細明體" w:cs="新細明體"/>
          <w:color w:val="000000"/>
          <w:spacing w:val="-1"/>
          <w:lang w:eastAsia="zh-TW"/>
        </w:rPr>
        <w:t>"。</w:t>
      </w:r>
    </w:p>
    <w:sectPr w:rsidR="00D00C9A">
      <w:type w:val="continuous"/>
      <w:pgSz w:w="11906" w:h="16838"/>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9A"/>
    <w:rsid w:val="0007201A"/>
    <w:rsid w:val="00126F2D"/>
    <w:rsid w:val="001A2031"/>
    <w:rsid w:val="002B1AD3"/>
    <w:rsid w:val="00331B9A"/>
    <w:rsid w:val="00365E35"/>
    <w:rsid w:val="00394572"/>
    <w:rsid w:val="00414DEA"/>
    <w:rsid w:val="00436821"/>
    <w:rsid w:val="0045628E"/>
    <w:rsid w:val="004A1F40"/>
    <w:rsid w:val="004B4625"/>
    <w:rsid w:val="004C1E9D"/>
    <w:rsid w:val="00517286"/>
    <w:rsid w:val="00586C03"/>
    <w:rsid w:val="006157E6"/>
    <w:rsid w:val="00641C6D"/>
    <w:rsid w:val="00776E6F"/>
    <w:rsid w:val="007844D1"/>
    <w:rsid w:val="007E6335"/>
    <w:rsid w:val="00813C17"/>
    <w:rsid w:val="009254FB"/>
    <w:rsid w:val="009839BB"/>
    <w:rsid w:val="00AC2B9C"/>
    <w:rsid w:val="00B04216"/>
    <w:rsid w:val="00B3083F"/>
    <w:rsid w:val="00C23F2C"/>
    <w:rsid w:val="00C73DBA"/>
    <w:rsid w:val="00CA584A"/>
    <w:rsid w:val="00CB25A2"/>
    <w:rsid w:val="00CF4F62"/>
    <w:rsid w:val="00D00C9A"/>
    <w:rsid w:val="00D34E19"/>
    <w:rsid w:val="00D60FFF"/>
    <w:rsid w:val="00EB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322D"/>
  <w15:docId w15:val="{A3B7F872-438F-4DEA-9B19-57E89183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冠昱 許</dc:creator>
  <cp:keywords/>
  <cp:lastModifiedBy>pc206</cp:lastModifiedBy>
  <cp:revision>3</cp:revision>
  <cp:lastPrinted>2022-07-29T07:33:00Z</cp:lastPrinted>
  <dcterms:created xsi:type="dcterms:W3CDTF">2023-04-10T03:47:00Z</dcterms:created>
  <dcterms:modified xsi:type="dcterms:W3CDTF">2023-04-10T03:50:00Z</dcterms:modified>
</cp:coreProperties>
</file>